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ED345"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bookmarkStart w:id="0" w:name="Quercia"/>
      <w:bookmarkStart w:id="1" w:name="_GoBack"/>
      <w:bookmarkEnd w:id="0"/>
      <w:bookmarkEnd w:id="1"/>
      <w:r w:rsidRPr="00AE1114">
        <w:rPr>
          <w:rFonts w:ascii="Times New Roman" w:eastAsia="Times New Roman" w:hAnsi="Times New Roman" w:cs="Times New Roman"/>
          <w:b/>
          <w:bCs/>
          <w:color w:val="000000"/>
          <w:sz w:val="78"/>
          <w:szCs w:val="78"/>
          <w:lang w:eastAsia="it-IT"/>
        </w:rPr>
        <w:t>Q</w:t>
      </w:r>
      <w:r w:rsidRPr="00AE1114">
        <w:rPr>
          <w:rFonts w:ascii="Times New Roman" w:eastAsia="Times New Roman" w:hAnsi="Times New Roman" w:cs="Times New Roman"/>
          <w:b/>
          <w:bCs/>
          <w:color w:val="000000"/>
          <w:sz w:val="34"/>
          <w:szCs w:val="34"/>
          <w:lang w:eastAsia="it-IT"/>
        </w:rPr>
        <w:t xml:space="preserve">uercia </w:t>
      </w:r>
    </w:p>
    <w:p w14:paraId="4D1BC5C6"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i/>
          <w:iCs/>
          <w:color w:val="000000"/>
          <w:sz w:val="26"/>
          <w:szCs w:val="26"/>
          <w:lang w:eastAsia="it-IT"/>
        </w:rPr>
        <w:t>Quercus pedunculata, Ehr.</w:t>
      </w:r>
      <w:r w:rsidRPr="00AE1114">
        <w:rPr>
          <w:rFonts w:ascii="Times New Roman" w:eastAsia="Times New Roman" w:hAnsi="Times New Roman" w:cs="Times New Roman"/>
          <w:i/>
          <w:iCs/>
          <w:color w:val="000000"/>
          <w:sz w:val="24"/>
          <w:szCs w:val="24"/>
          <w:lang w:eastAsia="it-IT"/>
        </w:rPr>
        <w:t xml:space="preserve">                                                                               </w:t>
      </w:r>
      <w:hyperlink r:id="rId5" w:history="1">
        <w:r w:rsidRPr="00AE1114">
          <w:rPr>
            <w:rFonts w:ascii="Times New Roman" w:eastAsia="Times New Roman" w:hAnsi="Times New Roman" w:cs="Times New Roman"/>
            <w:i/>
            <w:iCs/>
            <w:color w:val="000000"/>
            <w:sz w:val="24"/>
            <w:szCs w:val="24"/>
            <w:u w:val="single"/>
            <w:lang w:eastAsia="it-IT"/>
          </w:rPr>
          <w:t xml:space="preserve">  </w:t>
        </w:r>
      </w:hyperlink>
      <w:hyperlink r:id="rId6" w:history="1">
        <w:r w:rsidRPr="00AE1114">
          <w:rPr>
            <w:rFonts w:ascii="Times New Roman" w:eastAsia="Times New Roman" w:hAnsi="Times New Roman" w:cs="Times New Roman"/>
            <w:i/>
            <w:iCs/>
            <w:color w:val="000000"/>
            <w:sz w:val="16"/>
            <w:szCs w:val="16"/>
            <w:u w:val="single"/>
            <w:lang w:eastAsia="it-IT"/>
          </w:rPr>
          <w:t>TAV. 3 - N. 25</w:t>
        </w:r>
      </w:hyperlink>
      <w:r w:rsidRPr="00AE1114">
        <w:rPr>
          <w:rFonts w:ascii="Times New Roman" w:eastAsia="Times New Roman" w:hAnsi="Times New Roman" w:cs="Times New Roman"/>
          <w:i/>
          <w:iCs/>
          <w:color w:val="000000"/>
          <w:sz w:val="16"/>
          <w:szCs w:val="16"/>
          <w:lang w:eastAsia="it-IT"/>
        </w:rPr>
        <w:t xml:space="preserve"> </w:t>
      </w:r>
    </w:p>
    <w:p w14:paraId="3D7F1040"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sz w:val="16"/>
          <w:szCs w:val="16"/>
          <w:lang w:eastAsia="it-IT"/>
        </w:rPr>
        <w:t>N</w:t>
      </w:r>
      <w:r w:rsidRPr="00AE1114">
        <w:rPr>
          <w:rFonts w:ascii="Times New Roman" w:eastAsia="Times New Roman" w:hAnsi="Times New Roman" w:cs="Times New Roman"/>
          <w:color w:val="000000"/>
          <w:lang w:eastAsia="it-IT"/>
        </w:rPr>
        <w:t>o</w:t>
      </w:r>
      <w:r w:rsidRPr="00AE1114">
        <w:rPr>
          <w:rFonts w:ascii="Times New Roman" w:eastAsia="Times New Roman" w:hAnsi="Times New Roman" w:cs="Times New Roman"/>
          <w:color w:val="000000"/>
          <w:sz w:val="16"/>
          <w:szCs w:val="16"/>
          <w:lang w:eastAsia="it-IT"/>
        </w:rPr>
        <w:t>MI DIALETTALI:</w:t>
      </w:r>
      <w:r w:rsidRPr="00AE1114">
        <w:rPr>
          <w:rFonts w:ascii="Times New Roman" w:eastAsia="Times New Roman" w:hAnsi="Times New Roman" w:cs="Times New Roman"/>
          <w:color w:val="000000"/>
          <w:sz w:val="24"/>
          <w:szCs w:val="24"/>
          <w:lang w:eastAsia="it-IT"/>
        </w:rPr>
        <w:t xml:space="preserve"> </w:t>
      </w:r>
      <w:r w:rsidRPr="00AE1114">
        <w:rPr>
          <w:rFonts w:ascii="Times New Roman" w:eastAsia="Times New Roman" w:hAnsi="Times New Roman" w:cs="Times New Roman"/>
          <w:color w:val="000000"/>
          <w:lang w:eastAsia="it-IT"/>
        </w:rPr>
        <w:t xml:space="preserve">Rover, Rovar, Roer, Rovre. </w:t>
      </w:r>
    </w:p>
    <w:p w14:paraId="4E9F407D"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sz w:val="16"/>
          <w:szCs w:val="16"/>
          <w:lang w:eastAsia="it-IT"/>
        </w:rPr>
        <w:t>DESCRIZIONE</w:t>
      </w:r>
      <w:r w:rsidRPr="00AE1114">
        <w:rPr>
          <w:rFonts w:ascii="Times New Roman" w:eastAsia="Times New Roman" w:hAnsi="Times New Roman" w:cs="Times New Roman"/>
          <w:color w:val="000000"/>
          <w:lang w:eastAsia="it-IT"/>
        </w:rPr>
        <w:t xml:space="preserve">: Albero grande; foglie con stipole fugaci; squame della cupola appressate, le inferiori ovate e le altre ovate e ovato-lanceolate; ghianda ombilicata all’apice. </w:t>
      </w:r>
    </w:p>
    <w:p w14:paraId="4E79E210"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lang w:eastAsia="it-IT"/>
        </w:rPr>
        <w:t xml:space="preserve">H: comune nei boschi cedui dalla zona collina alla subalpina. </w:t>
      </w:r>
    </w:p>
    <w:p w14:paraId="34E253CF"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lang w:eastAsia="it-IT"/>
        </w:rPr>
        <w:t xml:space="preserve">P: le foglie, corteccia, ghiande, galle. </w:t>
      </w:r>
    </w:p>
    <w:p w14:paraId="69B5F76D"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lang w:eastAsia="it-IT"/>
        </w:rPr>
        <w:t xml:space="preserve">F: Cupulifere. </w:t>
      </w:r>
    </w:p>
    <w:p w14:paraId="04E1F887"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lang w:eastAsia="it-IT"/>
        </w:rPr>
        <w:t xml:space="preserve">Il </w:t>
      </w:r>
      <w:r w:rsidRPr="00AE1114">
        <w:rPr>
          <w:rFonts w:ascii="Times New Roman" w:eastAsia="Times New Roman" w:hAnsi="Times New Roman" w:cs="Times New Roman"/>
          <w:i/>
          <w:iCs/>
          <w:color w:val="000000"/>
          <w:lang w:eastAsia="it-IT"/>
        </w:rPr>
        <w:t>the, o</w:t>
      </w:r>
      <w:r w:rsidRPr="00AE1114">
        <w:rPr>
          <w:rFonts w:ascii="Times New Roman" w:eastAsia="Times New Roman" w:hAnsi="Times New Roman" w:cs="Times New Roman"/>
          <w:color w:val="000000"/>
          <w:lang w:eastAsia="it-IT"/>
        </w:rPr>
        <w:t xml:space="preserve"> meglio </w:t>
      </w:r>
      <w:r w:rsidRPr="00AE1114">
        <w:rPr>
          <w:rFonts w:ascii="Times New Roman" w:eastAsia="Times New Roman" w:hAnsi="Times New Roman" w:cs="Times New Roman"/>
          <w:i/>
          <w:iCs/>
          <w:color w:val="000000"/>
          <w:lang w:eastAsia="it-IT"/>
        </w:rPr>
        <w:t>la decozione della corteccia</w:t>
      </w:r>
      <w:r w:rsidRPr="00AE1114">
        <w:rPr>
          <w:rFonts w:ascii="Times New Roman" w:eastAsia="Times New Roman" w:hAnsi="Times New Roman" w:cs="Times New Roman"/>
          <w:color w:val="000000"/>
          <w:lang w:eastAsia="it-IT"/>
        </w:rPr>
        <w:t xml:space="preserve"> (30 gr. in un litro d’acqua), è efficace contro gli avvelenamenti vegetali: funghi, belladonna, colchico, tabacco, digitale solatro, aconito, ecc. Si usa pure contro la diarrea, dissenteria, scrofole, consunzione, emorragia gastro-intestinale, nello sputo di sangue, nel catarro alle mucose, alla vescica, ai bronchi. Il the deve essere concentrato; da prenderne un cucchiaio da tavola ogni 2 ore. </w:t>
      </w:r>
      <w:r w:rsidRPr="00AE1114">
        <w:rPr>
          <w:rFonts w:ascii="Times New Roman" w:eastAsia="Times New Roman" w:hAnsi="Times New Roman" w:cs="Times New Roman"/>
          <w:i/>
          <w:iCs/>
          <w:color w:val="000000"/>
          <w:lang w:eastAsia="it-IT"/>
        </w:rPr>
        <w:t>Per uso esterno,</w:t>
      </w:r>
      <w:r w:rsidRPr="00AE1114">
        <w:rPr>
          <w:rFonts w:ascii="Times New Roman" w:eastAsia="Times New Roman" w:hAnsi="Times New Roman" w:cs="Times New Roman"/>
          <w:color w:val="000000"/>
          <w:lang w:eastAsia="it-IT"/>
        </w:rPr>
        <w:t xml:space="preserve"> il decotto, che sarà più forte, si usa quale lavacro nelle dilatazioni dei vasi, nell’emorroidi, svenimenti, rotture, idropisia, enfiagioni, ascessi maligni, fratture, ustioni, piaghe derivanti da lunga degenza in letto, nel sudore delle ascelle e dei </w:t>
      </w:r>
    </w:p>
    <w:p w14:paraId="6C08040B"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lang w:eastAsia="it-IT"/>
        </w:rPr>
        <w:t>piedi, nelle piaghe agli stessi, geloni e, soprattutto, nel pericolosissimo carbonchio alla milza, nelle infiammazioni alla gola e per 1’abbassamento di voce; per schizzettare nelle emorragie e passaggi di catarro, e per inalazione ai tisici</w:t>
      </w:r>
      <w:r w:rsidRPr="00AE1114">
        <w:rPr>
          <w:rFonts w:ascii="Times New Roman" w:eastAsia="Times New Roman" w:hAnsi="Times New Roman" w:cs="Times New Roman"/>
          <w:color w:val="000000"/>
          <w:sz w:val="16"/>
          <w:szCs w:val="16"/>
          <w:lang w:eastAsia="it-IT"/>
        </w:rPr>
        <w:t xml:space="preserve">. </w:t>
      </w:r>
    </w:p>
    <w:p w14:paraId="0A901242"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lang w:eastAsia="it-IT"/>
        </w:rPr>
        <w:t xml:space="preserve">La </w:t>
      </w:r>
      <w:r w:rsidRPr="00AE1114">
        <w:rPr>
          <w:rFonts w:ascii="Times New Roman" w:eastAsia="Times New Roman" w:hAnsi="Times New Roman" w:cs="Times New Roman"/>
          <w:i/>
          <w:iCs/>
          <w:color w:val="000000"/>
          <w:lang w:eastAsia="it-IT"/>
        </w:rPr>
        <w:t>polvere di corteccia</w:t>
      </w:r>
      <w:r w:rsidRPr="00AE1114">
        <w:rPr>
          <w:rFonts w:ascii="Times New Roman" w:eastAsia="Times New Roman" w:hAnsi="Times New Roman" w:cs="Times New Roman"/>
          <w:color w:val="000000"/>
          <w:lang w:eastAsia="it-IT"/>
        </w:rPr>
        <w:t xml:space="preserve"> si usa: una punta di coltello, per lo sputo di sangue, nelle emorragie gastro-intestinali, nella diarrea, nelle difficoltà d’orina e nel mal della pietra; da fiuto per il sangue da naso. La </w:t>
      </w:r>
      <w:r w:rsidRPr="00AE1114">
        <w:rPr>
          <w:rFonts w:ascii="Times New Roman" w:eastAsia="Times New Roman" w:hAnsi="Times New Roman" w:cs="Times New Roman"/>
          <w:i/>
          <w:iCs/>
          <w:color w:val="000000"/>
          <w:lang w:eastAsia="it-IT"/>
        </w:rPr>
        <w:t>tintura</w:t>
      </w:r>
      <w:r w:rsidRPr="00AE1114">
        <w:rPr>
          <w:rFonts w:ascii="Times New Roman" w:eastAsia="Times New Roman" w:hAnsi="Times New Roman" w:cs="Times New Roman"/>
          <w:color w:val="000000"/>
          <w:lang w:eastAsia="it-IT"/>
        </w:rPr>
        <w:t xml:space="preserve"> serve per tutti i disturbi suaccennati. Vien preparata in questo modo: si schiacciano i rami giovani in primavera insieme con le foglie; se ne raccoglie il succo che si mescola con altrettanto alcool; indi si pone il liquido al sole per 14 giorni e si versa poi la parte chiara in un recipiente ben chiuso. Si prende a gocce, sullo zucchero o con il miele. Le </w:t>
      </w:r>
      <w:r w:rsidRPr="00AE1114">
        <w:rPr>
          <w:rFonts w:ascii="Times New Roman" w:eastAsia="Times New Roman" w:hAnsi="Times New Roman" w:cs="Times New Roman"/>
          <w:i/>
          <w:iCs/>
          <w:color w:val="000000"/>
          <w:lang w:eastAsia="it-IT"/>
        </w:rPr>
        <w:t>foglie,</w:t>
      </w:r>
      <w:r w:rsidRPr="00AE1114">
        <w:rPr>
          <w:rFonts w:ascii="Times New Roman" w:eastAsia="Times New Roman" w:hAnsi="Times New Roman" w:cs="Times New Roman"/>
          <w:color w:val="000000"/>
          <w:lang w:eastAsia="it-IT"/>
        </w:rPr>
        <w:t xml:space="preserve"> raccolte da maggio ad agosto, agiscono come la corteccia. Devono essere essiccate all’ombra, ben distese. </w:t>
      </w:r>
      <w:r w:rsidRPr="00AE1114">
        <w:rPr>
          <w:rFonts w:ascii="Times New Roman" w:eastAsia="Times New Roman" w:hAnsi="Times New Roman" w:cs="Times New Roman"/>
          <w:i/>
          <w:iCs/>
          <w:color w:val="000000"/>
          <w:lang w:eastAsia="it-IT"/>
        </w:rPr>
        <w:t>Una manata di foglie cotte</w:t>
      </w:r>
      <w:r w:rsidRPr="00AE1114">
        <w:rPr>
          <w:rFonts w:ascii="Times New Roman" w:eastAsia="Times New Roman" w:hAnsi="Times New Roman" w:cs="Times New Roman"/>
          <w:color w:val="000000"/>
          <w:lang w:eastAsia="it-IT"/>
        </w:rPr>
        <w:t xml:space="preserve"> in un litro d’acqua si pongono sulle piaghe maligne, sulle vesciche, sulle pustole del vaiuolo, sugli ascessi e ferite. Le </w:t>
      </w:r>
      <w:r w:rsidRPr="00AE1114">
        <w:rPr>
          <w:rFonts w:ascii="Times New Roman" w:eastAsia="Times New Roman" w:hAnsi="Times New Roman" w:cs="Times New Roman"/>
          <w:i/>
          <w:iCs/>
          <w:color w:val="000000"/>
          <w:lang w:eastAsia="it-IT"/>
        </w:rPr>
        <w:t>ghiande</w:t>
      </w:r>
      <w:r w:rsidRPr="00AE1114">
        <w:rPr>
          <w:rFonts w:ascii="Times New Roman" w:eastAsia="Times New Roman" w:hAnsi="Times New Roman" w:cs="Times New Roman"/>
          <w:color w:val="000000"/>
          <w:lang w:eastAsia="it-IT"/>
        </w:rPr>
        <w:t xml:space="preserve"> contengono acido tannico, una sostanza amara, molto amido, un olio grasso, sali di potassa, di calce, di allume; </w:t>
      </w:r>
      <w:r w:rsidRPr="00AE1114">
        <w:rPr>
          <w:rFonts w:ascii="Times New Roman" w:eastAsia="Times New Roman" w:hAnsi="Times New Roman" w:cs="Times New Roman"/>
          <w:i/>
          <w:iCs/>
          <w:color w:val="000000"/>
          <w:lang w:eastAsia="it-IT"/>
        </w:rPr>
        <w:t>arrostite,</w:t>
      </w:r>
      <w:r w:rsidRPr="00AE1114">
        <w:rPr>
          <w:rFonts w:ascii="Times New Roman" w:eastAsia="Times New Roman" w:hAnsi="Times New Roman" w:cs="Times New Roman"/>
          <w:color w:val="000000"/>
          <w:lang w:eastAsia="it-IT"/>
        </w:rPr>
        <w:t xml:space="preserve"> nutrono, rinforzando il ventricolo e 1’intestino. </w:t>
      </w:r>
      <w:r w:rsidRPr="00AE1114">
        <w:rPr>
          <w:rFonts w:ascii="Times New Roman" w:eastAsia="Times New Roman" w:hAnsi="Times New Roman" w:cs="Times New Roman"/>
          <w:i/>
          <w:iCs/>
          <w:color w:val="000000"/>
          <w:lang w:eastAsia="it-IT"/>
        </w:rPr>
        <w:t>Prese come caffè,</w:t>
      </w:r>
      <w:r w:rsidRPr="00AE1114">
        <w:rPr>
          <w:rFonts w:ascii="Times New Roman" w:eastAsia="Times New Roman" w:hAnsi="Times New Roman" w:cs="Times New Roman"/>
          <w:color w:val="000000"/>
          <w:lang w:eastAsia="it-IT"/>
        </w:rPr>
        <w:t xml:space="preserve"> non tostarle troppo, perchè perderebbero la loro efficacia. I fanciulli rachitici e deboli di ossa ne traggono grande vantaggio. Le </w:t>
      </w:r>
      <w:r w:rsidRPr="00AE1114">
        <w:rPr>
          <w:rFonts w:ascii="Times New Roman" w:eastAsia="Times New Roman" w:hAnsi="Times New Roman" w:cs="Times New Roman"/>
          <w:i/>
          <w:iCs/>
          <w:color w:val="000000"/>
          <w:lang w:eastAsia="it-IT"/>
        </w:rPr>
        <w:t>galle,</w:t>
      </w:r>
      <w:r w:rsidRPr="00AE1114">
        <w:rPr>
          <w:rFonts w:ascii="Times New Roman" w:eastAsia="Times New Roman" w:hAnsi="Times New Roman" w:cs="Times New Roman"/>
          <w:color w:val="000000"/>
          <w:lang w:eastAsia="it-IT"/>
        </w:rPr>
        <w:t xml:space="preserve"> raccolte secche in autunno, si polverizzano. In tale stato contengono il 25/30Fo di tannino. Con la cura di esse si allontanano le carni matte dagli ascessi, lo scorbuto, le gengive sanguinanti; detta polvere immessa nei denti cavi, fa cessare il dolore; fiutata, cessa il sangue da naso. </w:t>
      </w:r>
    </w:p>
    <w:p w14:paraId="541935FB" w14:textId="77777777" w:rsidR="00AE1114" w:rsidRPr="00AE1114" w:rsidRDefault="00AE1114" w:rsidP="00AE1114">
      <w:pPr>
        <w:spacing w:before="100" w:beforeAutospacing="1" w:after="170" w:line="240" w:lineRule="auto"/>
        <w:rPr>
          <w:rFonts w:ascii="Times New Roman" w:eastAsia="Times New Roman" w:hAnsi="Times New Roman" w:cs="Times New Roman"/>
          <w:color w:val="000000"/>
          <w:sz w:val="24"/>
          <w:szCs w:val="24"/>
          <w:lang w:eastAsia="it-IT"/>
        </w:rPr>
      </w:pPr>
      <w:r w:rsidRPr="00AE1114">
        <w:rPr>
          <w:rFonts w:ascii="Times New Roman" w:eastAsia="Times New Roman" w:hAnsi="Times New Roman" w:cs="Times New Roman"/>
          <w:color w:val="000000"/>
          <w:sz w:val="24"/>
          <w:szCs w:val="24"/>
          <w:lang w:eastAsia="it-IT"/>
        </w:rPr>
        <w:t> </w:t>
      </w:r>
    </w:p>
    <w:p w14:paraId="6638CD60" w14:textId="77777777" w:rsidR="006B5B74" w:rsidRPr="00AE1114" w:rsidRDefault="006B5B74">
      <w:pPr>
        <w:rPr>
          <w:color w:val="000000"/>
        </w:rPr>
      </w:pPr>
    </w:p>
    <w:sectPr w:rsidR="006B5B74" w:rsidRPr="00AE11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14"/>
    <w:rsid w:val="006B5B74"/>
    <w:rsid w:val="00AE1114"/>
    <w:rsid w:val="00D46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rgente90.it/atanasio/Tavole/tav3.jpg" TargetMode="External"/><Relationship Id="rId5" Type="http://schemas.openxmlformats.org/officeDocument/2006/relationships/hyperlink" Target="http://www.sorgente90.it/atanasio/Tavole/tav3.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2</cp:revision>
  <dcterms:created xsi:type="dcterms:W3CDTF">2010-10-25T20:17:00Z</dcterms:created>
  <dcterms:modified xsi:type="dcterms:W3CDTF">2010-10-25T20:17:00Z</dcterms:modified>
</cp:coreProperties>
</file>